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90537" w14:textId="6AEC13F7" w:rsidR="000F29A2" w:rsidRDefault="00D567F8">
      <w:pPr>
        <w:rPr>
          <w:b/>
          <w:bCs/>
          <w:color w:val="1F3864" w:themeColor="accent1" w:themeShade="80"/>
          <w:sz w:val="32"/>
          <w:szCs w:val="32"/>
        </w:rPr>
      </w:pPr>
      <w:bookmarkStart w:id="0" w:name="_GoBack"/>
      <w:bookmarkEnd w:id="0"/>
      <w:r w:rsidRPr="00C05F1D">
        <w:rPr>
          <w:b/>
          <w:bCs/>
          <w:noProof/>
          <w:color w:val="1F3864" w:themeColor="accent1" w:themeShade="8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60A2C88" wp14:editId="0777777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37665" cy="596900"/>
            <wp:effectExtent l="0" t="0" r="635" b="0"/>
            <wp:wrapSquare wrapText="bothSides"/>
            <wp:docPr id="8" name="Content Placeholder 7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DEE8107-FD10-433E-9FD2-BD88E540A36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6DEE8107-FD10-433E-9FD2-BD88E540A36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9" b="12296"/>
                    <a:stretch/>
                  </pic:blipFill>
                  <pic:spPr bwMode="auto">
                    <a:xfrm>
                      <a:off x="0" y="0"/>
                      <a:ext cx="1637665" cy="59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3597" w:rsidRPr="000E3597">
        <w:rPr>
          <w:b/>
          <w:bCs/>
          <w:color w:val="1F3864" w:themeColor="accent1" w:themeShade="80"/>
          <w:sz w:val="36"/>
          <w:szCs w:val="36"/>
        </w:rPr>
        <w:t>S213726</w:t>
      </w:r>
      <w:r w:rsidR="00D92EF1">
        <w:rPr>
          <w:b/>
          <w:bCs/>
          <w:color w:val="1F3864" w:themeColor="accent1" w:themeShade="80"/>
          <w:sz w:val="36"/>
          <w:szCs w:val="36"/>
        </w:rPr>
        <w:t xml:space="preserve">: A Chemical Probe for </w:t>
      </w:r>
      <w:r w:rsidR="000E3597">
        <w:rPr>
          <w:b/>
          <w:bCs/>
          <w:color w:val="1F3864" w:themeColor="accent1" w:themeShade="80"/>
          <w:sz w:val="36"/>
          <w:szCs w:val="36"/>
        </w:rPr>
        <w:t>KEAP1</w:t>
      </w:r>
    </w:p>
    <w:p w14:paraId="452E3FDC" w14:textId="3206F4F5" w:rsidR="00C05F1D" w:rsidRPr="00C05F1D" w:rsidRDefault="00C05F1D">
      <w:pPr>
        <w:rPr>
          <w:color w:val="1F3864" w:themeColor="accent1" w:themeShade="80"/>
          <w:sz w:val="20"/>
          <w:szCs w:val="20"/>
        </w:rPr>
      </w:pPr>
      <w:r w:rsidRPr="00C05F1D">
        <w:rPr>
          <w:color w:val="1F3864" w:themeColor="accent1" w:themeShade="80"/>
          <w:sz w:val="20"/>
          <w:szCs w:val="20"/>
        </w:rPr>
        <w:t>Version 1.0 (</w:t>
      </w:r>
      <w:r w:rsidR="00D92EF1">
        <w:rPr>
          <w:color w:val="1F3864" w:themeColor="accent1" w:themeShade="80"/>
          <w:sz w:val="20"/>
          <w:szCs w:val="20"/>
        </w:rPr>
        <w:t>date</w:t>
      </w:r>
      <w:r w:rsidRPr="00C05F1D">
        <w:rPr>
          <w:color w:val="1F3864" w:themeColor="accent1" w:themeShade="80"/>
          <w:sz w:val="20"/>
          <w:szCs w:val="20"/>
        </w:rPr>
        <w:t>)</w:t>
      </w:r>
    </w:p>
    <w:p w14:paraId="6ABB1B23" w14:textId="2965229B" w:rsidR="00D339BB" w:rsidRDefault="00AA0D1B" w:rsidP="00D339BB">
      <w:pPr>
        <w:jc w:val="center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 xml:space="preserve">Web link for more details: </w:t>
      </w:r>
      <w:r w:rsidR="00905FE1" w:rsidRPr="00905FE1">
        <w:rPr>
          <w:b/>
          <w:bCs/>
          <w:color w:val="1F3864" w:themeColor="accent1" w:themeShade="80"/>
          <w:sz w:val="24"/>
          <w:szCs w:val="24"/>
        </w:rPr>
        <w:t>https://www.thesgc.org/chemical-probes/</w:t>
      </w:r>
      <w:r w:rsidR="00D92EF1">
        <w:rPr>
          <w:b/>
          <w:bCs/>
          <w:color w:val="1F3864" w:themeColor="accent1" w:themeShade="80"/>
          <w:sz w:val="24"/>
          <w:szCs w:val="24"/>
        </w:rPr>
        <w:t>...</w:t>
      </w:r>
    </w:p>
    <w:p w14:paraId="6C0E1DE5" w14:textId="77777777" w:rsidR="00D567F8" w:rsidRPr="00D567F8" w:rsidRDefault="00D567F8" w:rsidP="00D339BB">
      <w:pPr>
        <w:rPr>
          <w:b/>
          <w:bCs/>
          <w:color w:val="1F3864" w:themeColor="accent1" w:themeShade="80"/>
          <w:sz w:val="24"/>
          <w:szCs w:val="24"/>
        </w:rPr>
      </w:pPr>
      <w:r w:rsidRPr="00D567F8">
        <w:rPr>
          <w:b/>
          <w:bCs/>
          <w:color w:val="1F3864" w:themeColor="accent1" w:themeShade="80"/>
          <w:sz w:val="24"/>
          <w:szCs w:val="24"/>
        </w:rPr>
        <w:t>Overview</w:t>
      </w:r>
    </w:p>
    <w:p w14:paraId="672A6659" w14:textId="4E7A6DA2" w:rsidR="00C36FE9" w:rsidRDefault="00C24043" w:rsidP="00795C47">
      <w:pPr>
        <w:jc w:val="both"/>
      </w:pPr>
      <w:r w:rsidRPr="00C24043">
        <w:t>KEAP1</w:t>
      </w:r>
      <w:r>
        <w:t xml:space="preserve"> is</w:t>
      </w:r>
      <w:r w:rsidRPr="00C24043">
        <w:t xml:space="preserve"> a</w:t>
      </w:r>
      <w:r>
        <w:t xml:space="preserve"> substrate</w:t>
      </w:r>
      <w:r w:rsidRPr="00C24043">
        <w:t xml:space="preserve"> adaptor protein of the CUL3 E3 ubiquitin ligase complex</w:t>
      </w:r>
      <w:r w:rsidR="003D2D45">
        <w:t xml:space="preserve"> and</w:t>
      </w:r>
      <w:r w:rsidR="003D2D45" w:rsidRPr="00C24043">
        <w:t xml:space="preserve"> is a key regulator of the cellular response to oxidative and electrophilic stress</w:t>
      </w:r>
      <w:r w:rsidR="00061495">
        <w:t xml:space="preserve">. </w:t>
      </w:r>
      <w:r w:rsidR="00061495" w:rsidRPr="00C24043">
        <w:t xml:space="preserve">Its </w:t>
      </w:r>
      <w:proofErr w:type="gramStart"/>
      <w:r w:rsidR="00061495" w:rsidRPr="00C24043">
        <w:t>best known</w:t>
      </w:r>
      <w:proofErr w:type="gramEnd"/>
      <w:r w:rsidR="00061495" w:rsidRPr="00C24043">
        <w:t xml:space="preserve"> substrate is the transcription factor Nrf2 </w:t>
      </w:r>
      <w:r w:rsidR="000E3597">
        <w:t>which</w:t>
      </w:r>
      <w:r w:rsidR="00061495" w:rsidRPr="00C24043">
        <w:t xml:space="preserve"> regulates the expression of antioxidant proteins</w:t>
      </w:r>
      <w:r w:rsidR="00061495">
        <w:t xml:space="preserve">. </w:t>
      </w:r>
      <w:r w:rsidR="00DA3551">
        <w:t>Inhibitors of KEAP1, which block its E3 ligase activity and stabilise Nrf2</w:t>
      </w:r>
      <w:r w:rsidR="000E3597">
        <w:t xml:space="preserve"> from degradation</w:t>
      </w:r>
      <w:r w:rsidR="00DA3551">
        <w:t>,</w:t>
      </w:r>
      <w:r w:rsidR="00DA3551" w:rsidRPr="00DA3551">
        <w:t xml:space="preserve"> </w:t>
      </w:r>
      <w:r w:rsidR="00DA3551" w:rsidRPr="00C24043">
        <w:t>protect cells from oxidative damage</w:t>
      </w:r>
      <w:r w:rsidR="00DA3551">
        <w:t xml:space="preserve"> and have potential application </w:t>
      </w:r>
      <w:r w:rsidR="00DA3551" w:rsidRPr="00DA3551">
        <w:t>across multiple therapeutic areas</w:t>
      </w:r>
      <w:r w:rsidR="00DA3551">
        <w:t xml:space="preserve">. </w:t>
      </w:r>
      <w:proofErr w:type="spellStart"/>
      <w:r w:rsidR="006C7834">
        <w:t>Servier</w:t>
      </w:r>
      <w:proofErr w:type="spellEnd"/>
      <w:r w:rsidR="006C7834">
        <w:t xml:space="preserve"> in collaboration with CMD Oxford</w:t>
      </w:r>
      <w:r>
        <w:t xml:space="preserve"> </w:t>
      </w:r>
      <w:r w:rsidR="00061495">
        <w:t xml:space="preserve">have developed </w:t>
      </w:r>
      <w:r w:rsidR="00061495" w:rsidRPr="00061495">
        <w:t>S213726</w:t>
      </w:r>
      <w:r w:rsidR="00DA3551">
        <w:t xml:space="preserve"> as a potent and selective covalent ligand for the BTB domain of KEAP1. </w:t>
      </w:r>
      <w:r w:rsidR="00DA3551" w:rsidRPr="00DA3551">
        <w:t>S214489</w:t>
      </w:r>
      <w:r w:rsidR="00DA3551">
        <w:t xml:space="preserve"> is a closely-related negative control compound.</w:t>
      </w:r>
    </w:p>
    <w:p w14:paraId="08423271" w14:textId="77777777" w:rsidR="00C05F1D" w:rsidRPr="002A2620" w:rsidRDefault="00C05F1D" w:rsidP="00473565">
      <w:r w:rsidRPr="00C05F1D">
        <w:rPr>
          <w:b/>
          <w:bCs/>
          <w:color w:val="1F3864" w:themeColor="accent1" w:themeShade="80"/>
          <w:sz w:val="24"/>
          <w:szCs w:val="24"/>
        </w:rPr>
        <w:t>Summary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EAADB" w:themeColor="accent1" w:themeTint="99"/>
          <w:insideV w:val="single" w:sz="2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05F1D" w:rsidRPr="00226564" w14:paraId="25EC38C4" w14:textId="77777777" w:rsidTr="327FD6F8">
        <w:trPr>
          <w:jc w:val="center"/>
        </w:trPr>
        <w:tc>
          <w:tcPr>
            <w:tcW w:w="4536" w:type="dxa"/>
          </w:tcPr>
          <w:p w14:paraId="13F50264" w14:textId="77777777" w:rsidR="00C05F1D" w:rsidRPr="00226564" w:rsidRDefault="00FB65D2" w:rsidP="009931F6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Chemical </w:t>
            </w:r>
            <w:r w:rsidR="00C05F1D" w:rsidRPr="00226564">
              <w:rPr>
                <w:rFonts w:asciiTheme="majorHAnsi" w:hAnsiTheme="majorHAnsi" w:cstheme="majorHAnsi"/>
                <w:b/>
                <w:bCs/>
              </w:rPr>
              <w:t>Probe Name</w:t>
            </w:r>
          </w:p>
        </w:tc>
        <w:tc>
          <w:tcPr>
            <w:tcW w:w="5245" w:type="dxa"/>
          </w:tcPr>
          <w:p w14:paraId="1FD0711A" w14:textId="2474FFD2" w:rsidR="00C05F1D" w:rsidRPr="00055B66" w:rsidRDefault="00DA3551" w:rsidP="00146132">
            <w:pPr>
              <w:rPr>
                <w:rFonts w:asciiTheme="majorHAnsi" w:hAnsiTheme="majorHAnsi" w:cstheme="majorHAnsi"/>
                <w:bCs/>
              </w:rPr>
            </w:pPr>
            <w:r w:rsidRPr="00DA3551">
              <w:rPr>
                <w:rFonts w:asciiTheme="majorHAnsi" w:hAnsiTheme="majorHAnsi" w:cstheme="majorHAnsi"/>
                <w:bCs/>
              </w:rPr>
              <w:t>S213726</w:t>
            </w:r>
          </w:p>
        </w:tc>
      </w:tr>
      <w:tr w:rsidR="00FB65D2" w:rsidRPr="00226564" w14:paraId="414D2021" w14:textId="77777777" w:rsidTr="327FD6F8">
        <w:trPr>
          <w:jc w:val="center"/>
        </w:trPr>
        <w:tc>
          <w:tcPr>
            <w:tcW w:w="4536" w:type="dxa"/>
          </w:tcPr>
          <w:p w14:paraId="374042A2" w14:textId="77777777" w:rsidR="00FB65D2" w:rsidRPr="00226564" w:rsidRDefault="00FB65D2" w:rsidP="00FB65D2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26564">
              <w:rPr>
                <w:rFonts w:asciiTheme="majorHAnsi" w:hAnsiTheme="majorHAnsi" w:cstheme="majorHAnsi"/>
                <w:b/>
                <w:bCs/>
              </w:rPr>
              <w:t>Negative control compound</w:t>
            </w:r>
          </w:p>
        </w:tc>
        <w:tc>
          <w:tcPr>
            <w:tcW w:w="5245" w:type="dxa"/>
          </w:tcPr>
          <w:p w14:paraId="79AB852C" w14:textId="36D94355" w:rsidR="00FB65D2" w:rsidRPr="00226564" w:rsidRDefault="00DA3551" w:rsidP="00146132">
            <w:pPr>
              <w:rPr>
                <w:rFonts w:asciiTheme="majorHAnsi" w:hAnsiTheme="majorHAnsi" w:cstheme="majorHAnsi"/>
              </w:rPr>
            </w:pPr>
            <w:r w:rsidRPr="00DA3551">
              <w:rPr>
                <w:rFonts w:asciiTheme="majorHAnsi" w:hAnsiTheme="majorHAnsi" w:cstheme="majorHAnsi"/>
              </w:rPr>
              <w:t>S214489</w:t>
            </w:r>
          </w:p>
        </w:tc>
      </w:tr>
      <w:tr w:rsidR="00FB65D2" w:rsidRPr="00226564" w14:paraId="4084DC0C" w14:textId="77777777" w:rsidTr="327FD6F8">
        <w:trPr>
          <w:jc w:val="center"/>
        </w:trPr>
        <w:tc>
          <w:tcPr>
            <w:tcW w:w="4536" w:type="dxa"/>
          </w:tcPr>
          <w:p w14:paraId="164B2331" w14:textId="77777777" w:rsidR="00FB65D2" w:rsidRPr="00226564" w:rsidRDefault="00FB65D2" w:rsidP="00FB65D2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26564">
              <w:rPr>
                <w:rFonts w:asciiTheme="majorHAnsi" w:hAnsiTheme="majorHAnsi" w:cstheme="majorHAnsi"/>
                <w:b/>
                <w:bCs/>
              </w:rPr>
              <w:t>Target(s) (synonyms)</w:t>
            </w:r>
          </w:p>
        </w:tc>
        <w:tc>
          <w:tcPr>
            <w:tcW w:w="5245" w:type="dxa"/>
            <w:shd w:val="clear" w:color="auto" w:fill="auto"/>
          </w:tcPr>
          <w:p w14:paraId="0CB571DC" w14:textId="5D9580C7" w:rsidR="00FB65D2" w:rsidRPr="00226564" w:rsidRDefault="00DA3551" w:rsidP="00905FE1">
            <w:pPr>
              <w:rPr>
                <w:rFonts w:asciiTheme="majorHAnsi" w:hAnsiTheme="majorHAnsi" w:cstheme="majorHAnsi"/>
              </w:rPr>
            </w:pPr>
            <w:proofErr w:type="spellStart"/>
            <w:r w:rsidRPr="00DA3551">
              <w:rPr>
                <w:rFonts w:asciiTheme="majorHAnsi" w:hAnsiTheme="majorHAnsi" w:cstheme="majorHAnsi"/>
              </w:rPr>
              <w:t>Kelch</w:t>
            </w:r>
            <w:proofErr w:type="spellEnd"/>
            <w:r w:rsidRPr="00DA3551">
              <w:rPr>
                <w:rFonts w:asciiTheme="majorHAnsi" w:hAnsiTheme="majorHAnsi" w:cstheme="majorHAnsi"/>
              </w:rPr>
              <w:t>-like ECH-associated protein 1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DA3551">
              <w:rPr>
                <w:rFonts w:asciiTheme="majorHAnsi" w:hAnsiTheme="majorHAnsi" w:cstheme="majorHAnsi"/>
              </w:rPr>
              <w:t>KEAP1</w:t>
            </w:r>
            <w:r>
              <w:rPr>
                <w:rFonts w:asciiTheme="majorHAnsi" w:hAnsiTheme="majorHAnsi" w:cstheme="majorHAnsi"/>
              </w:rPr>
              <w:t xml:space="preserve"> (KLHL19)</w:t>
            </w:r>
          </w:p>
        </w:tc>
      </w:tr>
      <w:tr w:rsidR="00FB65D2" w:rsidRPr="00226564" w14:paraId="779E51A2" w14:textId="77777777" w:rsidTr="327FD6F8">
        <w:trPr>
          <w:jc w:val="center"/>
        </w:trPr>
        <w:tc>
          <w:tcPr>
            <w:tcW w:w="4536" w:type="dxa"/>
          </w:tcPr>
          <w:p w14:paraId="45AAA996" w14:textId="64947286" w:rsidR="00FB65D2" w:rsidRPr="00226564" w:rsidRDefault="2FCDEAA1" w:rsidP="327FD6F8">
            <w:pPr>
              <w:spacing w:line="259" w:lineRule="auto"/>
              <w:jc w:val="right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327FD6F8"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Recommended cell assay concentration</w:t>
            </w:r>
          </w:p>
        </w:tc>
        <w:tc>
          <w:tcPr>
            <w:tcW w:w="5245" w:type="dxa"/>
            <w:shd w:val="clear" w:color="auto" w:fill="auto"/>
          </w:tcPr>
          <w:p w14:paraId="00C704FE" w14:textId="0E39EC66" w:rsidR="00FB65D2" w:rsidRPr="00226564" w:rsidRDefault="00DA3551" w:rsidP="00905F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 </w:t>
            </w:r>
            <w:r>
              <w:rPr>
                <w:rFonts w:ascii="Calibri" w:hAnsi="Calibri" w:cs="Calibri"/>
              </w:rPr>
              <w:t>µ</w:t>
            </w:r>
            <w:r>
              <w:rPr>
                <w:rFonts w:asciiTheme="majorHAnsi" w:hAnsiTheme="majorHAnsi" w:cstheme="majorHAnsi"/>
              </w:rPr>
              <w:t>M</w:t>
            </w:r>
          </w:p>
        </w:tc>
      </w:tr>
      <w:tr w:rsidR="00281AB8" w:rsidRPr="00226564" w14:paraId="7FA588CC" w14:textId="77777777" w:rsidTr="327FD6F8">
        <w:trPr>
          <w:jc w:val="center"/>
        </w:trPr>
        <w:tc>
          <w:tcPr>
            <w:tcW w:w="4536" w:type="dxa"/>
          </w:tcPr>
          <w:p w14:paraId="61B79566" w14:textId="77777777" w:rsidR="00281AB8" w:rsidRPr="00226564" w:rsidRDefault="00281AB8" w:rsidP="00281AB8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Suitability for </w:t>
            </w:r>
            <w:r>
              <w:rPr>
                <w:rFonts w:asciiTheme="majorHAnsi" w:hAnsiTheme="majorHAnsi" w:cstheme="majorHAnsi"/>
                <w:b/>
                <w:bCs/>
                <w:i/>
              </w:rPr>
              <w:t xml:space="preserve">in </w:t>
            </w:r>
            <w:r w:rsidRPr="00E24F35">
              <w:rPr>
                <w:rFonts w:asciiTheme="majorHAnsi" w:hAnsiTheme="majorHAnsi" w:cstheme="majorHAnsi"/>
                <w:b/>
                <w:bCs/>
                <w:iCs/>
              </w:rPr>
              <w:t>vivo</w:t>
            </w:r>
            <w:r>
              <w:rPr>
                <w:rFonts w:asciiTheme="majorHAnsi" w:hAnsiTheme="majorHAnsi" w:cstheme="majorHAnsi"/>
                <w:b/>
                <w:bCs/>
                <w:iCs/>
              </w:rPr>
              <w:t xml:space="preserve"> use and recommended dose</w:t>
            </w:r>
          </w:p>
        </w:tc>
        <w:tc>
          <w:tcPr>
            <w:tcW w:w="5245" w:type="dxa"/>
            <w:shd w:val="clear" w:color="auto" w:fill="auto"/>
          </w:tcPr>
          <w:p w14:paraId="6D9AAFA3" w14:textId="1576448D" w:rsidR="00281AB8" w:rsidRPr="00226564" w:rsidRDefault="00824626" w:rsidP="00281AB8">
            <w:pPr>
              <w:rPr>
                <w:rFonts w:asciiTheme="majorHAnsi" w:hAnsiTheme="majorHAnsi" w:cstheme="majorHAnsi"/>
              </w:rPr>
            </w:pPr>
            <w:r w:rsidRPr="00824626">
              <w:rPr>
                <w:rFonts w:asciiTheme="majorHAnsi" w:hAnsiTheme="majorHAnsi" w:cstheme="majorHAnsi"/>
              </w:rPr>
              <w:t>S213726</w:t>
            </w:r>
            <w:r>
              <w:rPr>
                <w:rFonts w:asciiTheme="majorHAnsi" w:hAnsiTheme="majorHAnsi" w:cstheme="majorHAnsi"/>
              </w:rPr>
              <w:t xml:space="preserve"> has been tested in </w:t>
            </w:r>
            <w:proofErr w:type="spellStart"/>
            <w:r>
              <w:rPr>
                <w:rFonts w:asciiTheme="majorHAnsi" w:hAnsiTheme="majorHAnsi" w:cstheme="majorHAnsi"/>
              </w:rPr>
              <w:t>db</w:t>
            </w:r>
            <w:proofErr w:type="spellEnd"/>
            <w:r>
              <w:rPr>
                <w:rFonts w:asciiTheme="majorHAnsi" w:hAnsiTheme="majorHAnsi" w:cstheme="majorHAnsi"/>
              </w:rPr>
              <w:t>/</w:t>
            </w:r>
            <w:proofErr w:type="spellStart"/>
            <w:r>
              <w:rPr>
                <w:rFonts w:asciiTheme="majorHAnsi" w:hAnsiTheme="majorHAnsi" w:cstheme="majorHAnsi"/>
              </w:rPr>
              <w:t>db</w:t>
            </w:r>
            <w:proofErr w:type="spellEnd"/>
            <w:r>
              <w:rPr>
                <w:rFonts w:asciiTheme="majorHAnsi" w:hAnsiTheme="majorHAnsi" w:cstheme="majorHAnsi"/>
              </w:rPr>
              <w:t xml:space="preserve"> mice at 100 mg/kg PO and anti-oxidant responses observed up to 24 hr.</w:t>
            </w:r>
          </w:p>
        </w:tc>
      </w:tr>
      <w:tr w:rsidR="00281AB8" w:rsidRPr="00226564" w14:paraId="2DD482E5" w14:textId="77777777" w:rsidTr="327FD6F8">
        <w:trPr>
          <w:jc w:val="center"/>
        </w:trPr>
        <w:tc>
          <w:tcPr>
            <w:tcW w:w="4536" w:type="dxa"/>
          </w:tcPr>
          <w:p w14:paraId="71496E5D" w14:textId="77777777" w:rsidR="00281AB8" w:rsidRPr="00226564" w:rsidRDefault="00281AB8" w:rsidP="00281AB8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26564">
              <w:rPr>
                <w:rFonts w:asciiTheme="majorHAnsi" w:hAnsiTheme="majorHAnsi" w:cstheme="majorHAnsi"/>
                <w:b/>
                <w:bCs/>
              </w:rPr>
              <w:t>Publications</w:t>
            </w:r>
          </w:p>
        </w:tc>
        <w:tc>
          <w:tcPr>
            <w:tcW w:w="5245" w:type="dxa"/>
          </w:tcPr>
          <w:p w14:paraId="451A0D88" w14:textId="0EB61D1C" w:rsidR="00281AB8" w:rsidRPr="00226564" w:rsidRDefault="00281AB8" w:rsidP="00281AB8">
            <w:pPr>
              <w:rPr>
                <w:rFonts w:asciiTheme="majorHAnsi" w:hAnsiTheme="majorHAnsi" w:cstheme="majorHAnsi"/>
              </w:rPr>
            </w:pPr>
          </w:p>
        </w:tc>
      </w:tr>
      <w:tr w:rsidR="00281AB8" w:rsidRPr="00281AB8" w14:paraId="56F79AF4" w14:textId="77777777" w:rsidTr="327FD6F8">
        <w:trPr>
          <w:jc w:val="center"/>
        </w:trPr>
        <w:tc>
          <w:tcPr>
            <w:tcW w:w="4536" w:type="dxa"/>
          </w:tcPr>
          <w:p w14:paraId="4E580089" w14:textId="77777777" w:rsidR="00281AB8" w:rsidRPr="00226564" w:rsidRDefault="00281AB8" w:rsidP="00281AB8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26564">
              <w:rPr>
                <w:rFonts w:asciiTheme="majorHAnsi" w:hAnsiTheme="majorHAnsi" w:cstheme="majorHAnsi"/>
                <w:b/>
                <w:bCs/>
              </w:rPr>
              <w:t xml:space="preserve">Orthogonal chemical probes </w:t>
            </w:r>
          </w:p>
        </w:tc>
        <w:tc>
          <w:tcPr>
            <w:tcW w:w="5245" w:type="dxa"/>
          </w:tcPr>
          <w:p w14:paraId="0A37501D" w14:textId="77777777" w:rsidR="00281AB8" w:rsidRPr="00281AB8" w:rsidRDefault="00281AB8" w:rsidP="00281AB8">
            <w:pPr>
              <w:rPr>
                <w:rFonts w:asciiTheme="majorHAnsi" w:hAnsiTheme="majorHAnsi" w:cstheme="majorHAnsi"/>
              </w:rPr>
            </w:pPr>
          </w:p>
        </w:tc>
      </w:tr>
      <w:tr w:rsidR="00281AB8" w:rsidRPr="00226564" w14:paraId="2C111F55" w14:textId="77777777" w:rsidTr="327FD6F8">
        <w:trPr>
          <w:jc w:val="center"/>
        </w:trPr>
        <w:tc>
          <w:tcPr>
            <w:tcW w:w="4536" w:type="dxa"/>
          </w:tcPr>
          <w:p w14:paraId="6B1B7D34" w14:textId="77777777" w:rsidR="00281AB8" w:rsidRPr="00226564" w:rsidRDefault="00281AB8" w:rsidP="00281AB8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I</w:t>
            </w:r>
            <w:r w:rsidRPr="009A2509">
              <w:rPr>
                <w:rFonts w:asciiTheme="majorHAnsi" w:hAnsiTheme="majorHAnsi" w:cstheme="majorHAnsi"/>
                <w:b/>
                <w:bCs/>
                <w:i/>
                <w:iCs/>
              </w:rPr>
              <w:t>n vitro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assay(s) used to characterise</w:t>
            </w:r>
          </w:p>
        </w:tc>
        <w:tc>
          <w:tcPr>
            <w:tcW w:w="5245" w:type="dxa"/>
          </w:tcPr>
          <w:p w14:paraId="2DE02207" w14:textId="1042FE1D" w:rsidR="00281AB8" w:rsidRPr="00226564" w:rsidRDefault="00824626" w:rsidP="00281A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LC-MS, </w:t>
            </w:r>
            <w:proofErr w:type="spellStart"/>
            <w:r>
              <w:rPr>
                <w:rFonts w:asciiTheme="majorHAnsi" w:hAnsiTheme="majorHAnsi" w:cstheme="majorHAnsi"/>
              </w:rPr>
              <w:t>isoTOP</w:t>
            </w:r>
            <w:proofErr w:type="spellEnd"/>
            <w:r>
              <w:rPr>
                <w:rFonts w:asciiTheme="majorHAnsi" w:hAnsiTheme="majorHAnsi" w:cstheme="majorHAnsi"/>
              </w:rPr>
              <w:t>-ABPP mass spectrometry</w:t>
            </w:r>
          </w:p>
        </w:tc>
      </w:tr>
      <w:tr w:rsidR="00281AB8" w:rsidRPr="00226564" w14:paraId="5CD2088D" w14:textId="77777777" w:rsidTr="327FD6F8">
        <w:trPr>
          <w:jc w:val="center"/>
        </w:trPr>
        <w:tc>
          <w:tcPr>
            <w:tcW w:w="4536" w:type="dxa"/>
          </w:tcPr>
          <w:p w14:paraId="076ED5AD" w14:textId="77777777" w:rsidR="00281AB8" w:rsidRPr="00C049C7" w:rsidRDefault="00281AB8" w:rsidP="00281AB8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Cellular assay(s) for target-engagement</w:t>
            </w:r>
          </w:p>
        </w:tc>
        <w:tc>
          <w:tcPr>
            <w:tcW w:w="5245" w:type="dxa"/>
          </w:tcPr>
          <w:p w14:paraId="1BE84F65" w14:textId="7291CEEC" w:rsidR="00281AB8" w:rsidRDefault="00824626" w:rsidP="00281AB8">
            <w:pPr>
              <w:rPr>
                <w:rFonts w:asciiTheme="majorHAnsi" w:hAnsiTheme="majorHAnsi" w:cstheme="majorHAnsi"/>
              </w:rPr>
            </w:pPr>
            <w:r w:rsidRPr="00824626">
              <w:rPr>
                <w:rFonts w:asciiTheme="majorHAnsi" w:hAnsiTheme="majorHAnsi" w:cstheme="majorHAnsi"/>
              </w:rPr>
              <w:t xml:space="preserve">ARE </w:t>
            </w:r>
            <w:r>
              <w:rPr>
                <w:rFonts w:asciiTheme="majorHAnsi" w:hAnsiTheme="majorHAnsi" w:cstheme="majorHAnsi"/>
              </w:rPr>
              <w:t xml:space="preserve">reporter </w:t>
            </w:r>
            <w:r w:rsidRPr="00824626">
              <w:rPr>
                <w:rFonts w:asciiTheme="majorHAnsi" w:hAnsiTheme="majorHAnsi" w:cstheme="majorHAnsi"/>
              </w:rPr>
              <w:t>assay</w:t>
            </w:r>
            <w:r>
              <w:rPr>
                <w:rFonts w:asciiTheme="majorHAnsi" w:hAnsiTheme="majorHAnsi" w:cstheme="majorHAnsi"/>
              </w:rPr>
              <w:t>, Nrf2 n</w:t>
            </w:r>
            <w:r w:rsidRPr="00824626">
              <w:rPr>
                <w:rFonts w:asciiTheme="majorHAnsi" w:hAnsiTheme="majorHAnsi" w:cstheme="majorHAnsi"/>
              </w:rPr>
              <w:t>uclear translocation</w:t>
            </w:r>
          </w:p>
        </w:tc>
      </w:tr>
    </w:tbl>
    <w:p w14:paraId="5DAB6C7B" w14:textId="77777777" w:rsidR="00C05F1D" w:rsidRDefault="00C05F1D">
      <w:pPr>
        <w:rPr>
          <w:rFonts w:ascii="Source Sans Pro" w:hAnsi="Source Sans Pro"/>
          <w:color w:val="444444"/>
          <w:sz w:val="21"/>
          <w:szCs w:val="21"/>
        </w:rPr>
      </w:pPr>
    </w:p>
    <w:p w14:paraId="6D7DD38F" w14:textId="77777777" w:rsidR="00226564" w:rsidRPr="00226564" w:rsidRDefault="00BD713B">
      <w:pPr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 xml:space="preserve">Chemical </w:t>
      </w:r>
      <w:r w:rsidR="00226564" w:rsidRPr="00226564">
        <w:rPr>
          <w:b/>
          <w:bCs/>
          <w:color w:val="1F3864" w:themeColor="accent1" w:themeShade="80"/>
          <w:sz w:val="24"/>
          <w:szCs w:val="24"/>
        </w:rPr>
        <w:t xml:space="preserve">Probe </w:t>
      </w:r>
      <w:r w:rsidR="00226564">
        <w:rPr>
          <w:b/>
          <w:bCs/>
          <w:color w:val="1F3864" w:themeColor="accent1" w:themeShade="80"/>
          <w:sz w:val="24"/>
          <w:szCs w:val="24"/>
        </w:rPr>
        <w:t>&amp; Negative Control Structures and Use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5222"/>
      </w:tblGrid>
      <w:tr w:rsidR="00226564" w:rsidRPr="00226564" w14:paraId="559CEE29" w14:textId="77777777" w:rsidTr="00F85FD5">
        <w:trPr>
          <w:trHeight w:val="195"/>
        </w:trPr>
        <w:tc>
          <w:tcPr>
            <w:tcW w:w="5222" w:type="dxa"/>
          </w:tcPr>
          <w:p w14:paraId="51946396" w14:textId="77777777" w:rsidR="00226564" w:rsidRDefault="00226564" w:rsidP="00C95A57">
            <w:pPr>
              <w:jc w:val="center"/>
              <w:rPr>
                <w:rFonts w:asciiTheme="majorHAnsi" w:hAnsiTheme="majorHAnsi" w:cstheme="majorHAnsi"/>
                <w:b/>
                <w:bCs/>
                <w:color w:val="444444"/>
                <w:sz w:val="21"/>
                <w:szCs w:val="21"/>
              </w:rPr>
            </w:pPr>
            <w:r w:rsidRPr="00226564">
              <w:rPr>
                <w:rFonts w:asciiTheme="majorHAnsi" w:hAnsiTheme="majorHAnsi" w:cstheme="majorHAnsi"/>
                <w:b/>
                <w:bCs/>
                <w:color w:val="444444"/>
                <w:sz w:val="21"/>
                <w:szCs w:val="21"/>
              </w:rPr>
              <w:t>Chemical Probe</w:t>
            </w:r>
          </w:p>
          <w:p w14:paraId="68F427D8" w14:textId="49CCD1AB" w:rsidR="000E3597" w:rsidRPr="00226564" w:rsidRDefault="000E3597" w:rsidP="00C95A57">
            <w:pPr>
              <w:jc w:val="center"/>
              <w:rPr>
                <w:rFonts w:asciiTheme="majorHAnsi" w:hAnsiTheme="majorHAnsi" w:cstheme="majorHAnsi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5222" w:type="dxa"/>
          </w:tcPr>
          <w:p w14:paraId="3B2C609D" w14:textId="47B71612" w:rsidR="00226564" w:rsidRPr="00226564" w:rsidRDefault="00226564" w:rsidP="0029359A">
            <w:pPr>
              <w:jc w:val="center"/>
              <w:rPr>
                <w:rFonts w:asciiTheme="majorHAnsi" w:hAnsiTheme="majorHAnsi" w:cstheme="majorHAnsi"/>
                <w:b/>
                <w:bCs/>
                <w:color w:val="444444"/>
                <w:sz w:val="21"/>
                <w:szCs w:val="21"/>
              </w:rPr>
            </w:pPr>
            <w:r w:rsidRPr="00554BF2">
              <w:rPr>
                <w:rFonts w:asciiTheme="majorHAnsi" w:hAnsiTheme="majorHAnsi" w:cstheme="majorHAnsi"/>
                <w:b/>
                <w:bCs/>
                <w:iCs/>
                <w:color w:val="444444"/>
                <w:sz w:val="21"/>
                <w:szCs w:val="21"/>
              </w:rPr>
              <w:t>Negative</w:t>
            </w:r>
            <w:r w:rsidRPr="00226564">
              <w:rPr>
                <w:rFonts w:asciiTheme="majorHAnsi" w:hAnsiTheme="majorHAnsi" w:cstheme="majorHAnsi"/>
                <w:b/>
                <w:bCs/>
                <w:color w:val="444444"/>
                <w:sz w:val="21"/>
                <w:szCs w:val="21"/>
              </w:rPr>
              <w:t xml:space="preserve"> Control</w:t>
            </w:r>
          </w:p>
        </w:tc>
      </w:tr>
      <w:tr w:rsidR="00226564" w:rsidRPr="00226564" w14:paraId="02EB378F" w14:textId="77777777" w:rsidTr="00F85FD5">
        <w:trPr>
          <w:trHeight w:val="1517"/>
        </w:trPr>
        <w:tc>
          <w:tcPr>
            <w:tcW w:w="5222" w:type="dxa"/>
          </w:tcPr>
          <w:p w14:paraId="6A05A809" w14:textId="67EC854A" w:rsidR="00226564" w:rsidRPr="00226564" w:rsidRDefault="00824626" w:rsidP="00226564">
            <w:pPr>
              <w:jc w:val="center"/>
              <w:rPr>
                <w:rFonts w:asciiTheme="majorHAnsi" w:hAnsiTheme="majorHAnsi" w:cstheme="majorHAnsi"/>
                <w:color w:val="444444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7C24F5B" wp14:editId="7D6D2853">
                  <wp:extent cx="1477945" cy="12600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94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</w:tcPr>
          <w:p w14:paraId="5A39BBE3" w14:textId="470962B0" w:rsidR="00226564" w:rsidRPr="00226564" w:rsidRDefault="00824626" w:rsidP="00226564">
            <w:pPr>
              <w:jc w:val="center"/>
              <w:rPr>
                <w:rFonts w:asciiTheme="majorHAnsi" w:hAnsiTheme="majorHAnsi" w:cstheme="majorHAnsi"/>
                <w:color w:val="444444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E1BDA41" wp14:editId="069BA788">
                  <wp:extent cx="1286951" cy="12600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95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FD5" w:rsidRPr="00226564" w14:paraId="41C8F396" w14:textId="77777777" w:rsidTr="00F85FD5">
        <w:trPr>
          <w:trHeight w:val="195"/>
        </w:trPr>
        <w:tc>
          <w:tcPr>
            <w:tcW w:w="5222" w:type="dxa"/>
            <w:noWrap/>
          </w:tcPr>
          <w:p w14:paraId="73E49516" w14:textId="2338572B" w:rsidR="00F85FD5" w:rsidRDefault="00F85FD5" w:rsidP="00F85FD5">
            <w:pPr>
              <w:rPr>
                <w:rFonts w:asciiTheme="majorHAnsi" w:hAnsiTheme="majorHAnsi" w:cstheme="majorHAnsi"/>
                <w:bCs/>
                <w:color w:val="444444"/>
                <w:sz w:val="20"/>
                <w:szCs w:val="21"/>
              </w:rPr>
            </w:pPr>
            <w:r w:rsidRPr="00F85FD5">
              <w:rPr>
                <w:rFonts w:asciiTheme="majorHAnsi" w:hAnsiTheme="majorHAnsi" w:cstheme="majorHAnsi"/>
                <w:bCs/>
                <w:color w:val="444444"/>
                <w:sz w:val="20"/>
                <w:szCs w:val="21"/>
              </w:rPr>
              <w:t>SMILEs</w:t>
            </w:r>
            <w:r>
              <w:rPr>
                <w:rFonts w:asciiTheme="majorHAnsi" w:hAnsiTheme="majorHAnsi" w:cstheme="majorHAnsi"/>
                <w:bCs/>
                <w:color w:val="444444"/>
                <w:sz w:val="20"/>
                <w:szCs w:val="21"/>
              </w:rPr>
              <w:t>:</w:t>
            </w:r>
          </w:p>
          <w:p w14:paraId="72A3D3EC" w14:textId="1FA8574A" w:rsidR="00F85FD5" w:rsidRPr="00F85FD5" w:rsidRDefault="00795C47" w:rsidP="00F85FD5">
            <w:pPr>
              <w:rPr>
                <w:rFonts w:asciiTheme="majorHAnsi" w:hAnsiTheme="majorHAnsi" w:cstheme="majorHAnsi"/>
                <w:bCs/>
                <w:color w:val="444444"/>
                <w:sz w:val="21"/>
                <w:szCs w:val="21"/>
              </w:rPr>
            </w:pPr>
            <w:r w:rsidRPr="00795C47">
              <w:rPr>
                <w:rFonts w:asciiTheme="majorHAnsi" w:hAnsiTheme="majorHAnsi" w:cstheme="majorHAnsi"/>
                <w:bCs/>
                <w:color w:val="444444"/>
                <w:sz w:val="18"/>
                <w:szCs w:val="21"/>
              </w:rPr>
              <w:t>CCS(=O)(=O)c1nc(c(s1)N2CCN(C)C(=O)[C@H]2C)S(=O)(=O)c3ccccc3Cl</w:t>
            </w:r>
          </w:p>
        </w:tc>
        <w:tc>
          <w:tcPr>
            <w:tcW w:w="5222" w:type="dxa"/>
          </w:tcPr>
          <w:p w14:paraId="64BF730F" w14:textId="77777777" w:rsidR="00795C47" w:rsidRDefault="00F85FD5" w:rsidP="00F85FD5">
            <w:pPr>
              <w:rPr>
                <w:rFonts w:asciiTheme="majorHAnsi" w:hAnsiTheme="majorHAnsi" w:cstheme="majorHAnsi"/>
                <w:bCs/>
                <w:color w:val="444444"/>
                <w:sz w:val="20"/>
                <w:szCs w:val="21"/>
              </w:rPr>
            </w:pPr>
            <w:r w:rsidRPr="00F85FD5">
              <w:rPr>
                <w:rFonts w:asciiTheme="majorHAnsi" w:hAnsiTheme="majorHAnsi" w:cstheme="majorHAnsi"/>
                <w:bCs/>
                <w:color w:val="444444"/>
                <w:sz w:val="20"/>
                <w:szCs w:val="21"/>
              </w:rPr>
              <w:t>SMILEs</w:t>
            </w:r>
            <w:r>
              <w:rPr>
                <w:rFonts w:asciiTheme="majorHAnsi" w:hAnsiTheme="majorHAnsi" w:cstheme="majorHAnsi"/>
                <w:bCs/>
                <w:color w:val="444444"/>
                <w:sz w:val="20"/>
                <w:szCs w:val="21"/>
              </w:rPr>
              <w:t>:</w:t>
            </w:r>
          </w:p>
          <w:p w14:paraId="0D0B940D" w14:textId="75B2BB11" w:rsidR="00F85FD5" w:rsidRPr="00795C47" w:rsidRDefault="00795C47" w:rsidP="00F85FD5">
            <w:pPr>
              <w:rPr>
                <w:rFonts w:asciiTheme="majorHAnsi" w:hAnsiTheme="majorHAnsi" w:cstheme="majorHAnsi"/>
                <w:bCs/>
                <w:color w:val="444444"/>
                <w:sz w:val="20"/>
                <w:szCs w:val="21"/>
              </w:rPr>
            </w:pPr>
            <w:r w:rsidRPr="00795C47">
              <w:rPr>
                <w:rFonts w:asciiTheme="majorHAnsi" w:hAnsiTheme="majorHAnsi" w:cstheme="majorHAnsi"/>
                <w:bCs/>
                <w:color w:val="444444"/>
                <w:sz w:val="20"/>
                <w:szCs w:val="21"/>
              </w:rPr>
              <w:t>CN1CCN(CC1=O)c2sc(C=C)nc2S(=O)(=O)c3ccccc3Cl</w:t>
            </w:r>
          </w:p>
        </w:tc>
      </w:tr>
      <w:tr w:rsidR="00F85FD5" w:rsidRPr="000C3AB1" w14:paraId="2E4007E6" w14:textId="77777777" w:rsidTr="00F85FD5">
        <w:trPr>
          <w:trHeight w:val="149"/>
        </w:trPr>
        <w:tc>
          <w:tcPr>
            <w:tcW w:w="5222" w:type="dxa"/>
            <w:noWrap/>
          </w:tcPr>
          <w:p w14:paraId="29B25FB9" w14:textId="19665EC5" w:rsidR="00F85FD5" w:rsidRPr="00F85FD5" w:rsidRDefault="00F85FD5" w:rsidP="00F85FD5">
            <w:pPr>
              <w:rPr>
                <w:rFonts w:asciiTheme="majorHAnsi" w:hAnsiTheme="majorHAnsi" w:cstheme="majorHAnsi"/>
                <w:color w:val="444444"/>
                <w:sz w:val="20"/>
                <w:szCs w:val="16"/>
              </w:rPr>
            </w:pPr>
            <w:proofErr w:type="spellStart"/>
            <w:r w:rsidRPr="00F85FD5">
              <w:rPr>
                <w:rFonts w:asciiTheme="majorHAnsi" w:hAnsiTheme="majorHAnsi" w:cstheme="majorHAnsi"/>
                <w:color w:val="444444"/>
                <w:sz w:val="20"/>
                <w:szCs w:val="16"/>
              </w:rPr>
              <w:t>InChiKey</w:t>
            </w:r>
            <w:proofErr w:type="spellEnd"/>
            <w:r>
              <w:rPr>
                <w:rFonts w:asciiTheme="majorHAnsi" w:hAnsiTheme="majorHAnsi" w:cstheme="majorHAnsi"/>
                <w:color w:val="444444"/>
                <w:sz w:val="20"/>
                <w:szCs w:val="16"/>
              </w:rPr>
              <w:t>:</w:t>
            </w:r>
            <w:r w:rsidR="008B22B5">
              <w:rPr>
                <w:rFonts w:asciiTheme="majorHAnsi" w:hAnsiTheme="majorHAnsi" w:cstheme="majorHAnsi"/>
                <w:color w:val="444444"/>
                <w:sz w:val="20"/>
                <w:szCs w:val="16"/>
              </w:rPr>
              <w:t xml:space="preserve"> </w:t>
            </w:r>
            <w:r w:rsidR="00795C47" w:rsidRPr="00795C47">
              <w:rPr>
                <w:rFonts w:asciiTheme="majorHAnsi" w:hAnsiTheme="majorHAnsi" w:cstheme="majorHAnsi"/>
                <w:color w:val="444444"/>
                <w:sz w:val="20"/>
                <w:szCs w:val="16"/>
              </w:rPr>
              <w:t>XRAUKWUDYSUHJM-LLVKDONJSA-N</w:t>
            </w:r>
          </w:p>
        </w:tc>
        <w:tc>
          <w:tcPr>
            <w:tcW w:w="5222" w:type="dxa"/>
          </w:tcPr>
          <w:p w14:paraId="3266BD76" w14:textId="5A17DA85" w:rsidR="00F85FD5" w:rsidRPr="000C3AB1" w:rsidRDefault="00F85FD5" w:rsidP="00F85FD5">
            <w:pPr>
              <w:rPr>
                <w:rFonts w:asciiTheme="majorHAnsi" w:hAnsiTheme="majorHAnsi" w:cstheme="majorHAnsi"/>
                <w:color w:val="444444"/>
                <w:sz w:val="16"/>
                <w:szCs w:val="16"/>
              </w:rPr>
            </w:pPr>
            <w:proofErr w:type="spellStart"/>
            <w:r w:rsidRPr="00F85FD5">
              <w:rPr>
                <w:rFonts w:asciiTheme="majorHAnsi" w:hAnsiTheme="majorHAnsi" w:cstheme="majorHAnsi"/>
                <w:color w:val="444444"/>
                <w:sz w:val="20"/>
                <w:szCs w:val="16"/>
              </w:rPr>
              <w:t>InChiKey</w:t>
            </w:r>
            <w:proofErr w:type="spellEnd"/>
            <w:r>
              <w:rPr>
                <w:rFonts w:asciiTheme="majorHAnsi" w:hAnsiTheme="majorHAnsi" w:cstheme="majorHAnsi"/>
                <w:color w:val="444444"/>
                <w:sz w:val="20"/>
                <w:szCs w:val="16"/>
              </w:rPr>
              <w:t>:</w:t>
            </w:r>
            <w:r w:rsidR="008B22B5">
              <w:rPr>
                <w:rFonts w:asciiTheme="majorHAnsi" w:hAnsiTheme="majorHAnsi" w:cstheme="majorHAnsi"/>
                <w:color w:val="444444"/>
                <w:sz w:val="20"/>
                <w:szCs w:val="16"/>
              </w:rPr>
              <w:t xml:space="preserve"> </w:t>
            </w:r>
            <w:r w:rsidR="00795C47" w:rsidRPr="00795C47">
              <w:rPr>
                <w:rFonts w:asciiTheme="majorHAnsi" w:hAnsiTheme="majorHAnsi" w:cstheme="majorHAnsi"/>
                <w:color w:val="444444"/>
                <w:sz w:val="20"/>
                <w:szCs w:val="16"/>
              </w:rPr>
              <w:t>LQNJUPLCHMOONS-UHFFFAOYSA-N</w:t>
            </w:r>
          </w:p>
        </w:tc>
      </w:tr>
      <w:tr w:rsidR="00F85FD5" w:rsidRPr="000C3AB1" w14:paraId="745D4D47" w14:textId="77777777" w:rsidTr="00F85FD5">
        <w:trPr>
          <w:trHeight w:val="149"/>
        </w:trPr>
        <w:tc>
          <w:tcPr>
            <w:tcW w:w="5222" w:type="dxa"/>
          </w:tcPr>
          <w:p w14:paraId="669F48CD" w14:textId="352AA5FD" w:rsidR="00F85FD5" w:rsidRPr="00F85FD5" w:rsidRDefault="00F85FD5" w:rsidP="00F85F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5FD5">
              <w:rPr>
                <w:rFonts w:asciiTheme="majorHAnsi" w:hAnsiTheme="majorHAnsi" w:cstheme="majorHAnsi"/>
                <w:sz w:val="20"/>
                <w:szCs w:val="20"/>
              </w:rPr>
              <w:t>Molecular Weight: 478.0</w:t>
            </w:r>
            <w:r w:rsidR="00795C4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222" w:type="dxa"/>
          </w:tcPr>
          <w:p w14:paraId="60E3CB06" w14:textId="08F73973" w:rsidR="00F85FD5" w:rsidRPr="000C3AB1" w:rsidRDefault="00F85FD5" w:rsidP="00F85F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5FD5">
              <w:rPr>
                <w:rFonts w:asciiTheme="majorHAnsi" w:hAnsiTheme="majorHAnsi" w:cstheme="majorHAnsi"/>
                <w:sz w:val="20"/>
                <w:szCs w:val="20"/>
              </w:rPr>
              <w:t>Molecular Weight:</w:t>
            </w:r>
            <w:r w:rsidR="00795C47">
              <w:rPr>
                <w:rFonts w:asciiTheme="majorHAnsi" w:hAnsiTheme="majorHAnsi" w:cstheme="majorHAnsi"/>
                <w:sz w:val="20"/>
                <w:szCs w:val="20"/>
              </w:rPr>
              <w:t xml:space="preserve"> 397.90</w:t>
            </w:r>
          </w:p>
        </w:tc>
      </w:tr>
      <w:tr w:rsidR="00F85FD5" w:rsidRPr="000C3AB1" w14:paraId="3620CAD1" w14:textId="77777777" w:rsidTr="00F85FD5">
        <w:trPr>
          <w:trHeight w:val="160"/>
        </w:trPr>
        <w:tc>
          <w:tcPr>
            <w:tcW w:w="5222" w:type="dxa"/>
          </w:tcPr>
          <w:p w14:paraId="636609DD" w14:textId="577B3819" w:rsidR="00F85FD5" w:rsidRPr="00F85FD5" w:rsidRDefault="00F85FD5" w:rsidP="00C22886">
            <w:pPr>
              <w:rPr>
                <w:rFonts w:asciiTheme="majorHAnsi" w:hAnsiTheme="majorHAnsi" w:cstheme="majorHAnsi"/>
                <w:bCs/>
                <w:color w:val="444444"/>
                <w:sz w:val="20"/>
                <w:szCs w:val="20"/>
              </w:rPr>
            </w:pPr>
            <w:r w:rsidRPr="00F85FD5">
              <w:rPr>
                <w:rFonts w:asciiTheme="majorHAnsi" w:hAnsiTheme="majorHAnsi" w:cstheme="majorHAnsi"/>
                <w:bCs/>
                <w:color w:val="444444"/>
                <w:sz w:val="20"/>
                <w:szCs w:val="20"/>
              </w:rPr>
              <w:t>Storage: As a dry powder or as DMSO stock solutions (10 mM) at -20 °C. DMSO stocks should be aliquoted in single-use volumes (and not refrozen). DMSO stocks older than 3-6 months should be tested for activity before use.</w:t>
            </w:r>
          </w:p>
        </w:tc>
        <w:tc>
          <w:tcPr>
            <w:tcW w:w="5222" w:type="dxa"/>
          </w:tcPr>
          <w:p w14:paraId="1A0E3DD6" w14:textId="489000CB" w:rsidR="00F85FD5" w:rsidRPr="000C3AB1" w:rsidRDefault="00F85FD5" w:rsidP="00C22886">
            <w:pPr>
              <w:rPr>
                <w:rFonts w:asciiTheme="majorHAnsi" w:hAnsiTheme="majorHAnsi" w:cstheme="majorHAnsi"/>
                <w:b/>
                <w:bCs/>
                <w:color w:val="444444"/>
                <w:sz w:val="16"/>
                <w:szCs w:val="16"/>
              </w:rPr>
            </w:pPr>
            <w:r w:rsidRPr="00F85FD5">
              <w:rPr>
                <w:rFonts w:asciiTheme="majorHAnsi" w:hAnsiTheme="majorHAnsi" w:cstheme="majorHAnsi"/>
                <w:bCs/>
                <w:color w:val="444444"/>
                <w:sz w:val="20"/>
                <w:szCs w:val="20"/>
              </w:rPr>
              <w:t>Storage: As a dry powder or as DMSO stock solutions (10 mM) at -20 °C. DMSO stocks should be aliquoted in single-use volumes (and not refrozen). DMSO stocks older than 3-6 months should be tested for activity before use.</w:t>
            </w:r>
          </w:p>
        </w:tc>
      </w:tr>
      <w:tr w:rsidR="00F85FD5" w:rsidRPr="000C3AB1" w14:paraId="6179E495" w14:textId="77777777" w:rsidTr="00F85FD5">
        <w:trPr>
          <w:trHeight w:val="149"/>
        </w:trPr>
        <w:tc>
          <w:tcPr>
            <w:tcW w:w="5222" w:type="dxa"/>
          </w:tcPr>
          <w:p w14:paraId="735D0055" w14:textId="4FBDDE21" w:rsidR="00F85FD5" w:rsidRPr="00F85FD5" w:rsidRDefault="00F85FD5" w:rsidP="00F85FD5">
            <w:pPr>
              <w:rPr>
                <w:rFonts w:asciiTheme="majorHAnsi" w:hAnsiTheme="majorHAnsi" w:cstheme="majorHAnsi"/>
                <w:color w:val="444444"/>
                <w:sz w:val="20"/>
                <w:szCs w:val="20"/>
              </w:rPr>
            </w:pPr>
            <w:r w:rsidRPr="00F85FD5">
              <w:rPr>
                <w:rFonts w:asciiTheme="majorHAnsi" w:hAnsiTheme="majorHAnsi" w:cstheme="majorHAnsi"/>
                <w:color w:val="444444"/>
                <w:sz w:val="20"/>
                <w:szCs w:val="20"/>
              </w:rPr>
              <w:t>Dissolution: Soluble in DMSO up to 50 mM</w:t>
            </w:r>
          </w:p>
        </w:tc>
        <w:tc>
          <w:tcPr>
            <w:tcW w:w="5222" w:type="dxa"/>
          </w:tcPr>
          <w:p w14:paraId="29E7CC49" w14:textId="001DD158" w:rsidR="00F85FD5" w:rsidRPr="000C3AB1" w:rsidRDefault="00F85FD5" w:rsidP="00F85FD5">
            <w:pPr>
              <w:rPr>
                <w:rFonts w:asciiTheme="majorHAnsi" w:hAnsiTheme="majorHAnsi" w:cstheme="majorHAnsi"/>
                <w:color w:val="444444"/>
                <w:sz w:val="16"/>
                <w:szCs w:val="16"/>
              </w:rPr>
            </w:pPr>
            <w:r w:rsidRPr="00F85FD5">
              <w:rPr>
                <w:rFonts w:asciiTheme="majorHAnsi" w:hAnsiTheme="majorHAnsi" w:cstheme="majorHAnsi"/>
                <w:color w:val="444444"/>
                <w:sz w:val="20"/>
                <w:szCs w:val="20"/>
              </w:rPr>
              <w:t>Dissolution: Soluble in DMSO up to 50 mM</w:t>
            </w:r>
          </w:p>
        </w:tc>
      </w:tr>
      <w:tr w:rsidR="00F85FD5" w:rsidRPr="000C3AB1" w14:paraId="054F38BF" w14:textId="77777777" w:rsidTr="00F85FD5">
        <w:trPr>
          <w:trHeight w:val="149"/>
        </w:trPr>
        <w:tc>
          <w:tcPr>
            <w:tcW w:w="5222" w:type="dxa"/>
          </w:tcPr>
          <w:p w14:paraId="47B9B854" w14:textId="471198F1" w:rsidR="00F85FD5" w:rsidRPr="000C3AB1" w:rsidRDefault="00F85FD5" w:rsidP="00F85FD5">
            <w:pPr>
              <w:rPr>
                <w:rFonts w:asciiTheme="majorHAnsi" w:hAnsiTheme="majorHAnsi" w:cstheme="majorHAnsi"/>
                <w:color w:val="444444"/>
                <w:sz w:val="16"/>
                <w:szCs w:val="16"/>
              </w:rPr>
            </w:pPr>
          </w:p>
        </w:tc>
        <w:tc>
          <w:tcPr>
            <w:tcW w:w="5222" w:type="dxa"/>
          </w:tcPr>
          <w:p w14:paraId="75DCE016" w14:textId="10CDED34" w:rsidR="00F85FD5" w:rsidRPr="000C3AB1" w:rsidRDefault="00F85FD5" w:rsidP="00F85FD5">
            <w:pPr>
              <w:rPr>
                <w:rFonts w:asciiTheme="majorHAnsi" w:hAnsiTheme="majorHAnsi" w:cstheme="majorHAnsi"/>
                <w:color w:val="444444"/>
                <w:sz w:val="16"/>
                <w:szCs w:val="16"/>
              </w:rPr>
            </w:pPr>
          </w:p>
        </w:tc>
      </w:tr>
    </w:tbl>
    <w:p w14:paraId="5900A09F" w14:textId="77777777" w:rsidR="00BD713B" w:rsidRPr="00BD713B" w:rsidRDefault="00BD713B">
      <w:pPr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 xml:space="preserve">Chemical </w:t>
      </w:r>
      <w:r w:rsidRPr="00BD713B">
        <w:rPr>
          <w:b/>
          <w:bCs/>
          <w:color w:val="1F3864" w:themeColor="accent1" w:themeShade="80"/>
          <w:sz w:val="24"/>
          <w:szCs w:val="24"/>
        </w:rPr>
        <w:t>Probe Profile</w:t>
      </w:r>
    </w:p>
    <w:p w14:paraId="234F5A5F" w14:textId="6F52B4B4" w:rsidR="00D567F8" w:rsidRDefault="007A4D14" w:rsidP="00795C47">
      <w:pPr>
        <w:jc w:val="both"/>
        <w:rPr>
          <w:rFonts w:asciiTheme="majorHAnsi" w:hAnsiTheme="majorHAnsi" w:cstheme="majorHAnsi"/>
          <w:b/>
          <w:bCs/>
          <w:color w:val="444444"/>
          <w:sz w:val="21"/>
          <w:szCs w:val="21"/>
        </w:rPr>
      </w:pPr>
      <w:r w:rsidRPr="007A4D14">
        <w:rPr>
          <w:rFonts w:asciiTheme="majorHAnsi" w:hAnsiTheme="majorHAnsi" w:cstheme="majorHAnsi"/>
          <w:b/>
          <w:bCs/>
          <w:i/>
          <w:iCs/>
          <w:color w:val="444444"/>
          <w:sz w:val="21"/>
          <w:szCs w:val="21"/>
        </w:rPr>
        <w:t>In vitro</w:t>
      </w:r>
      <w:r w:rsidRPr="007A4D14">
        <w:rPr>
          <w:rFonts w:asciiTheme="majorHAnsi" w:hAnsiTheme="majorHAnsi" w:cstheme="majorHAnsi"/>
          <w:b/>
          <w:bCs/>
          <w:color w:val="444444"/>
          <w:sz w:val="21"/>
          <w:szCs w:val="21"/>
        </w:rPr>
        <w:t xml:space="preserve"> Potency &amp; </w:t>
      </w:r>
      <w:r w:rsidR="00E17387" w:rsidRPr="007A4D14">
        <w:rPr>
          <w:rFonts w:asciiTheme="majorHAnsi" w:hAnsiTheme="majorHAnsi" w:cstheme="majorHAnsi"/>
          <w:b/>
          <w:bCs/>
          <w:color w:val="444444"/>
          <w:sz w:val="21"/>
          <w:szCs w:val="21"/>
        </w:rPr>
        <w:t xml:space="preserve">Selectivity: </w:t>
      </w:r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t>irreversible covalent binding</w:t>
      </w:r>
      <w:r w:rsidR="00C22886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; </w:t>
      </w:r>
      <w:proofErr w:type="spellStart"/>
      <w:r w:rsidR="00C22886" w:rsidRPr="00C22886">
        <w:rPr>
          <w:rFonts w:asciiTheme="majorHAnsi" w:hAnsiTheme="majorHAnsi" w:cstheme="majorHAnsi"/>
          <w:bCs/>
          <w:i/>
          <w:color w:val="444444"/>
          <w:sz w:val="21"/>
          <w:szCs w:val="21"/>
        </w:rPr>
        <w:t>k</w:t>
      </w:r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  <w:vertAlign w:val="subscript"/>
        </w:rPr>
        <w:t>obs</w:t>
      </w:r>
      <w:proofErr w:type="spellEnd"/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 very fast</w:t>
      </w:r>
      <w:r w:rsidR="00C22886">
        <w:rPr>
          <w:rFonts w:asciiTheme="majorHAnsi" w:hAnsiTheme="majorHAnsi" w:cstheme="majorHAnsi"/>
          <w:bCs/>
          <w:color w:val="444444"/>
          <w:sz w:val="21"/>
          <w:szCs w:val="21"/>
        </w:rPr>
        <w:t>;</w:t>
      </w:r>
      <w:r w:rsidR="00C22886" w:rsidRPr="000E3597">
        <w:rPr>
          <w:rFonts w:asciiTheme="majorHAnsi" w:hAnsiTheme="majorHAnsi" w:cstheme="majorHAnsi"/>
          <w:bCs/>
          <w:i/>
          <w:color w:val="444444"/>
          <w:sz w:val="21"/>
          <w:szCs w:val="21"/>
        </w:rPr>
        <w:t xml:space="preserve"> </w:t>
      </w:r>
      <w:proofErr w:type="spellStart"/>
      <w:r w:rsidR="00C22886" w:rsidRPr="000E3597">
        <w:rPr>
          <w:rFonts w:asciiTheme="majorHAnsi" w:hAnsiTheme="majorHAnsi" w:cstheme="majorHAnsi"/>
          <w:bCs/>
          <w:i/>
          <w:color w:val="444444"/>
          <w:sz w:val="21"/>
          <w:szCs w:val="21"/>
        </w:rPr>
        <w:t>k</w:t>
      </w:r>
      <w:r w:rsidR="00C22886" w:rsidRPr="000E3597">
        <w:rPr>
          <w:rFonts w:asciiTheme="majorHAnsi" w:hAnsiTheme="majorHAnsi" w:cstheme="majorHAnsi"/>
          <w:bCs/>
          <w:color w:val="444444"/>
          <w:sz w:val="21"/>
          <w:szCs w:val="21"/>
          <w:vertAlign w:val="subscript"/>
        </w:rPr>
        <w:t>alkyl</w:t>
      </w:r>
      <w:proofErr w:type="spellEnd"/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t>/</w:t>
      </w:r>
      <w:r w:rsidR="00C22886" w:rsidRPr="000E3597">
        <w:rPr>
          <w:rFonts w:asciiTheme="majorHAnsi" w:hAnsiTheme="majorHAnsi" w:cstheme="majorHAnsi"/>
          <w:bCs/>
          <w:i/>
          <w:color w:val="444444"/>
          <w:sz w:val="21"/>
          <w:szCs w:val="21"/>
        </w:rPr>
        <w:t>K</w:t>
      </w:r>
      <w:r w:rsidR="00C22886" w:rsidRPr="000E3597">
        <w:rPr>
          <w:rFonts w:asciiTheme="majorHAnsi" w:hAnsiTheme="majorHAnsi" w:cstheme="majorHAnsi"/>
          <w:bCs/>
          <w:color w:val="444444"/>
          <w:sz w:val="21"/>
          <w:szCs w:val="21"/>
          <w:vertAlign w:val="subscript"/>
        </w:rPr>
        <w:t>D</w:t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 = </w:t>
      </w:r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t>1.46 x 10</w:t>
      </w:r>
      <w:r w:rsidR="00C22886" w:rsidRPr="000E3597">
        <w:rPr>
          <w:rFonts w:asciiTheme="majorHAnsi" w:hAnsiTheme="majorHAnsi" w:cstheme="majorHAnsi"/>
          <w:bCs/>
          <w:color w:val="444444"/>
          <w:sz w:val="21"/>
          <w:szCs w:val="21"/>
          <w:vertAlign w:val="superscript"/>
        </w:rPr>
        <w:t xml:space="preserve">-2 </w:t>
      </w:r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t>min</w:t>
      </w:r>
      <w:r w:rsidR="00C22886" w:rsidRPr="000E3597">
        <w:rPr>
          <w:rFonts w:asciiTheme="majorHAnsi" w:hAnsiTheme="majorHAnsi" w:cstheme="majorHAnsi"/>
          <w:bCs/>
          <w:color w:val="444444"/>
          <w:sz w:val="21"/>
          <w:szCs w:val="21"/>
          <w:vertAlign w:val="superscript"/>
        </w:rPr>
        <w:t>-1</w:t>
      </w:r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t>µM</w:t>
      </w:r>
      <w:r w:rsidR="00C22886" w:rsidRPr="000E3597">
        <w:rPr>
          <w:rFonts w:asciiTheme="majorHAnsi" w:hAnsiTheme="majorHAnsi" w:cstheme="majorHAnsi"/>
          <w:bCs/>
          <w:color w:val="444444"/>
          <w:sz w:val="21"/>
          <w:szCs w:val="21"/>
          <w:vertAlign w:val="superscript"/>
        </w:rPr>
        <w:t>-1</w:t>
      </w:r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 </w:t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(= </w:t>
      </w:r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t>243 M</w:t>
      </w:r>
      <w:r w:rsidR="00C22886" w:rsidRPr="000E3597">
        <w:rPr>
          <w:rFonts w:asciiTheme="majorHAnsi" w:hAnsiTheme="majorHAnsi" w:cstheme="majorHAnsi"/>
          <w:bCs/>
          <w:color w:val="444444"/>
          <w:sz w:val="21"/>
          <w:szCs w:val="21"/>
          <w:vertAlign w:val="superscript"/>
        </w:rPr>
        <w:t>-1</w:t>
      </w:r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t>s</w:t>
      </w:r>
      <w:r w:rsidR="00C22886" w:rsidRPr="000E3597">
        <w:rPr>
          <w:rFonts w:asciiTheme="majorHAnsi" w:hAnsiTheme="majorHAnsi" w:cstheme="majorHAnsi"/>
          <w:bCs/>
          <w:color w:val="444444"/>
          <w:sz w:val="21"/>
          <w:szCs w:val="21"/>
          <w:vertAlign w:val="superscript"/>
        </w:rPr>
        <w:t>-1</w:t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>)</w:t>
      </w:r>
      <w:r w:rsidR="00C22886" w:rsidRPr="00C22886">
        <w:rPr>
          <w:rFonts w:asciiTheme="majorHAnsi" w:hAnsiTheme="majorHAnsi" w:cstheme="majorHAnsi"/>
          <w:bCs/>
          <w:color w:val="444444"/>
          <w:sz w:val="21"/>
          <w:szCs w:val="21"/>
        </w:rPr>
        <w:cr/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Selective against other BTB, </w:t>
      </w:r>
      <w:proofErr w:type="spellStart"/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>Kelch</w:t>
      </w:r>
      <w:proofErr w:type="spellEnd"/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 and kinase domains tested by LC-MS or DSF.</w:t>
      </w:r>
    </w:p>
    <w:p w14:paraId="5547731B" w14:textId="31FE3B1B" w:rsidR="007A4D14" w:rsidRPr="000E3597" w:rsidRDefault="00416ECF" w:rsidP="00795C47">
      <w:pPr>
        <w:jc w:val="both"/>
        <w:rPr>
          <w:rFonts w:asciiTheme="majorHAnsi" w:hAnsiTheme="majorHAnsi" w:cstheme="majorHAnsi"/>
          <w:bCs/>
          <w:color w:val="444444"/>
          <w:sz w:val="21"/>
          <w:szCs w:val="21"/>
        </w:rPr>
      </w:pPr>
      <w:r>
        <w:rPr>
          <w:rFonts w:asciiTheme="majorHAnsi" w:hAnsiTheme="majorHAnsi" w:cstheme="majorHAnsi"/>
          <w:b/>
          <w:bCs/>
          <w:color w:val="444444"/>
          <w:sz w:val="21"/>
          <w:szCs w:val="21"/>
        </w:rPr>
        <w:t>Potency in Cells</w:t>
      </w:r>
      <w:r w:rsidR="005A3582" w:rsidRPr="00074410">
        <w:rPr>
          <w:rFonts w:asciiTheme="majorHAnsi" w:hAnsiTheme="majorHAnsi" w:cstheme="majorHAnsi"/>
          <w:b/>
          <w:bCs/>
          <w:color w:val="444444"/>
          <w:sz w:val="21"/>
          <w:szCs w:val="21"/>
        </w:rPr>
        <w:t xml:space="preserve"> and </w:t>
      </w:r>
      <w:r>
        <w:rPr>
          <w:rFonts w:asciiTheme="majorHAnsi" w:hAnsiTheme="majorHAnsi" w:cstheme="majorHAnsi"/>
          <w:b/>
          <w:bCs/>
          <w:color w:val="444444"/>
          <w:sz w:val="21"/>
          <w:szCs w:val="21"/>
        </w:rPr>
        <w:t xml:space="preserve">Cellular </w:t>
      </w:r>
      <w:r w:rsidR="005A3582" w:rsidRPr="00074410">
        <w:rPr>
          <w:rFonts w:asciiTheme="majorHAnsi" w:hAnsiTheme="majorHAnsi" w:cstheme="majorHAnsi"/>
          <w:b/>
          <w:bCs/>
          <w:color w:val="444444"/>
          <w:sz w:val="21"/>
          <w:szCs w:val="21"/>
        </w:rPr>
        <w:t>Target Engagement:</w:t>
      </w:r>
      <w:r w:rsidR="000E3597">
        <w:rPr>
          <w:rFonts w:asciiTheme="majorHAnsi" w:hAnsiTheme="majorHAnsi" w:cstheme="majorHAnsi"/>
          <w:b/>
          <w:bCs/>
          <w:color w:val="444444"/>
          <w:sz w:val="21"/>
          <w:szCs w:val="21"/>
        </w:rPr>
        <w:t xml:space="preserve"> </w:t>
      </w:r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>ARE reporter assay (HEPG2) EC</w:t>
      </w:r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  <w:vertAlign w:val="subscript"/>
        </w:rPr>
        <w:t>50</w:t>
      </w:r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 </w:t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= 61.8 </w:t>
      </w:r>
      <w:proofErr w:type="spellStart"/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>nM</w:t>
      </w:r>
      <w:proofErr w:type="spellEnd"/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>; Nrf2 n</w:t>
      </w:r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uclear translocation </w:t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assay </w:t>
      </w:r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>(U2OS) EC</w:t>
      </w:r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  <w:vertAlign w:val="subscript"/>
        </w:rPr>
        <w:t>50</w:t>
      </w:r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 </w:t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= 136 </w:t>
      </w:r>
      <w:proofErr w:type="spellStart"/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>nM</w:t>
      </w:r>
      <w:proofErr w:type="spellEnd"/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; Ultra-selective by </w:t>
      </w:r>
      <w:proofErr w:type="spellStart"/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>isoTOP</w:t>
      </w:r>
      <w:proofErr w:type="spellEnd"/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>-ABPP</w:t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 mass spectrometry (one off target </w:t>
      </w:r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>PCIF1</w:t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 xml:space="preserve"> Cys</w:t>
      </w:r>
      <w:r w:rsidR="000E3597" w:rsidRPr="000E3597">
        <w:rPr>
          <w:rFonts w:asciiTheme="majorHAnsi" w:hAnsiTheme="majorHAnsi" w:cstheme="majorHAnsi"/>
          <w:bCs/>
          <w:color w:val="444444"/>
          <w:sz w:val="21"/>
          <w:szCs w:val="21"/>
        </w:rPr>
        <w:t>626</w:t>
      </w:r>
      <w:r w:rsidR="000E3597">
        <w:rPr>
          <w:rFonts w:asciiTheme="majorHAnsi" w:hAnsiTheme="majorHAnsi" w:cstheme="majorHAnsi"/>
          <w:bCs/>
          <w:color w:val="444444"/>
          <w:sz w:val="21"/>
          <w:szCs w:val="21"/>
        </w:rPr>
        <w:t>).</w:t>
      </w:r>
    </w:p>
    <w:sectPr w:rsidR="007A4D14" w:rsidRPr="000E3597" w:rsidSect="00E24F35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F8"/>
    <w:rsid w:val="00050008"/>
    <w:rsid w:val="00055B66"/>
    <w:rsid w:val="000568D4"/>
    <w:rsid w:val="00057485"/>
    <w:rsid w:val="00061495"/>
    <w:rsid w:val="00065ACD"/>
    <w:rsid w:val="00070C0F"/>
    <w:rsid w:val="0007285F"/>
    <w:rsid w:val="00074410"/>
    <w:rsid w:val="0008290C"/>
    <w:rsid w:val="00086FC5"/>
    <w:rsid w:val="000C3AB1"/>
    <w:rsid w:val="000D34AA"/>
    <w:rsid w:val="000E3597"/>
    <w:rsid w:val="000F29A2"/>
    <w:rsid w:val="000F51F4"/>
    <w:rsid w:val="00137802"/>
    <w:rsid w:val="001435C5"/>
    <w:rsid w:val="00146132"/>
    <w:rsid w:val="00152978"/>
    <w:rsid w:val="001760F2"/>
    <w:rsid w:val="001B548C"/>
    <w:rsid w:val="001B79AE"/>
    <w:rsid w:val="001C0742"/>
    <w:rsid w:val="001D778A"/>
    <w:rsid w:val="001E1B8F"/>
    <w:rsid w:val="001F0182"/>
    <w:rsid w:val="001F6451"/>
    <w:rsid w:val="00225ED6"/>
    <w:rsid w:val="00226564"/>
    <w:rsid w:val="002269FC"/>
    <w:rsid w:val="00233E61"/>
    <w:rsid w:val="00281AB8"/>
    <w:rsid w:val="002852D2"/>
    <w:rsid w:val="0029359A"/>
    <w:rsid w:val="002A2620"/>
    <w:rsid w:val="002D0D5B"/>
    <w:rsid w:val="002F45D5"/>
    <w:rsid w:val="002F6D3F"/>
    <w:rsid w:val="003008E2"/>
    <w:rsid w:val="00336853"/>
    <w:rsid w:val="003573DA"/>
    <w:rsid w:val="00361B97"/>
    <w:rsid w:val="00396F4C"/>
    <w:rsid w:val="003A5B7C"/>
    <w:rsid w:val="003D2D45"/>
    <w:rsid w:val="003E1DAA"/>
    <w:rsid w:val="003F4647"/>
    <w:rsid w:val="003F7458"/>
    <w:rsid w:val="00400EEF"/>
    <w:rsid w:val="00401982"/>
    <w:rsid w:val="00412AE4"/>
    <w:rsid w:val="004159C0"/>
    <w:rsid w:val="00416ECF"/>
    <w:rsid w:val="00437AAC"/>
    <w:rsid w:val="00473565"/>
    <w:rsid w:val="00497080"/>
    <w:rsid w:val="004A3287"/>
    <w:rsid w:val="004B6A43"/>
    <w:rsid w:val="004F7708"/>
    <w:rsid w:val="005132E9"/>
    <w:rsid w:val="00522B54"/>
    <w:rsid w:val="00541020"/>
    <w:rsid w:val="00554BF2"/>
    <w:rsid w:val="00557943"/>
    <w:rsid w:val="00557A2C"/>
    <w:rsid w:val="005A3582"/>
    <w:rsid w:val="005D2752"/>
    <w:rsid w:val="005F483F"/>
    <w:rsid w:val="00600B2D"/>
    <w:rsid w:val="00611FD8"/>
    <w:rsid w:val="0062095E"/>
    <w:rsid w:val="006751E9"/>
    <w:rsid w:val="0068188B"/>
    <w:rsid w:val="00693F7C"/>
    <w:rsid w:val="006C2DA8"/>
    <w:rsid w:val="006C7834"/>
    <w:rsid w:val="006F3B42"/>
    <w:rsid w:val="006F3FD5"/>
    <w:rsid w:val="00715744"/>
    <w:rsid w:val="007346C2"/>
    <w:rsid w:val="0076089D"/>
    <w:rsid w:val="00776F7C"/>
    <w:rsid w:val="00795C47"/>
    <w:rsid w:val="007972B5"/>
    <w:rsid w:val="007A4D14"/>
    <w:rsid w:val="007B3E60"/>
    <w:rsid w:val="007B65D4"/>
    <w:rsid w:val="007B7818"/>
    <w:rsid w:val="007D4CB4"/>
    <w:rsid w:val="007D4EAD"/>
    <w:rsid w:val="007D7D75"/>
    <w:rsid w:val="007F08F2"/>
    <w:rsid w:val="0081742D"/>
    <w:rsid w:val="008221ED"/>
    <w:rsid w:val="00824626"/>
    <w:rsid w:val="008473F6"/>
    <w:rsid w:val="008573D5"/>
    <w:rsid w:val="00870161"/>
    <w:rsid w:val="00884E0E"/>
    <w:rsid w:val="008918FE"/>
    <w:rsid w:val="008B22B5"/>
    <w:rsid w:val="008C53F8"/>
    <w:rsid w:val="008D0C33"/>
    <w:rsid w:val="008D18A6"/>
    <w:rsid w:val="008D551B"/>
    <w:rsid w:val="008E45FF"/>
    <w:rsid w:val="009024BF"/>
    <w:rsid w:val="00905FE1"/>
    <w:rsid w:val="009232A0"/>
    <w:rsid w:val="0092592C"/>
    <w:rsid w:val="00943980"/>
    <w:rsid w:val="009500EC"/>
    <w:rsid w:val="00952F6A"/>
    <w:rsid w:val="00970D5A"/>
    <w:rsid w:val="0097740D"/>
    <w:rsid w:val="00987D2C"/>
    <w:rsid w:val="009A2509"/>
    <w:rsid w:val="009B3CA8"/>
    <w:rsid w:val="009C59E6"/>
    <w:rsid w:val="009D38D6"/>
    <w:rsid w:val="009E2AD3"/>
    <w:rsid w:val="009F3471"/>
    <w:rsid w:val="00A32357"/>
    <w:rsid w:val="00A51CC1"/>
    <w:rsid w:val="00A82C12"/>
    <w:rsid w:val="00AA0D1B"/>
    <w:rsid w:val="00AA0EE1"/>
    <w:rsid w:val="00AA4E8A"/>
    <w:rsid w:val="00AC59F1"/>
    <w:rsid w:val="00B011BF"/>
    <w:rsid w:val="00B17075"/>
    <w:rsid w:val="00B32E1E"/>
    <w:rsid w:val="00B706D3"/>
    <w:rsid w:val="00B73620"/>
    <w:rsid w:val="00BB4B7E"/>
    <w:rsid w:val="00BD713B"/>
    <w:rsid w:val="00BE1D21"/>
    <w:rsid w:val="00BE396C"/>
    <w:rsid w:val="00BF248B"/>
    <w:rsid w:val="00C049C7"/>
    <w:rsid w:val="00C05AE7"/>
    <w:rsid w:val="00C05F1D"/>
    <w:rsid w:val="00C13369"/>
    <w:rsid w:val="00C22886"/>
    <w:rsid w:val="00C24043"/>
    <w:rsid w:val="00C36FE9"/>
    <w:rsid w:val="00C95A57"/>
    <w:rsid w:val="00D066A5"/>
    <w:rsid w:val="00D17A5C"/>
    <w:rsid w:val="00D339BB"/>
    <w:rsid w:val="00D52CFA"/>
    <w:rsid w:val="00D567F8"/>
    <w:rsid w:val="00D57F26"/>
    <w:rsid w:val="00D81AB2"/>
    <w:rsid w:val="00D82C9E"/>
    <w:rsid w:val="00D84FD6"/>
    <w:rsid w:val="00D87F5B"/>
    <w:rsid w:val="00D92EF1"/>
    <w:rsid w:val="00D97C48"/>
    <w:rsid w:val="00DA2F63"/>
    <w:rsid w:val="00DA3551"/>
    <w:rsid w:val="00DB0712"/>
    <w:rsid w:val="00E005BF"/>
    <w:rsid w:val="00E17387"/>
    <w:rsid w:val="00E24F35"/>
    <w:rsid w:val="00E624FA"/>
    <w:rsid w:val="00E71D69"/>
    <w:rsid w:val="00E814FF"/>
    <w:rsid w:val="00EA1047"/>
    <w:rsid w:val="00EB5098"/>
    <w:rsid w:val="00EC265E"/>
    <w:rsid w:val="00EE3CFA"/>
    <w:rsid w:val="00F02B54"/>
    <w:rsid w:val="00F110E1"/>
    <w:rsid w:val="00F14119"/>
    <w:rsid w:val="00F15FD6"/>
    <w:rsid w:val="00F24CA5"/>
    <w:rsid w:val="00F27838"/>
    <w:rsid w:val="00F66686"/>
    <w:rsid w:val="00F7334D"/>
    <w:rsid w:val="00F757AA"/>
    <w:rsid w:val="00F85FD5"/>
    <w:rsid w:val="00F952D4"/>
    <w:rsid w:val="00FB65D2"/>
    <w:rsid w:val="00FD438E"/>
    <w:rsid w:val="00FE384E"/>
    <w:rsid w:val="2FCDEAA1"/>
    <w:rsid w:val="327F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FCCD"/>
  <w15:docId w15:val="{EF4C1E7F-6093-4A6E-8CD7-BC2E1847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5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5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D1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96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4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818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81AB8"/>
  </w:style>
  <w:style w:type="character" w:customStyle="1" w:styleId="eop">
    <w:name w:val="eop"/>
    <w:basedOn w:val="DefaultParagraphFont"/>
    <w:rsid w:val="0028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2097FD0983244854630038FC2B96B" ma:contentTypeVersion="14" ma:contentTypeDescription="Crée un document." ma:contentTypeScope="" ma:versionID="47cc9a2ef3c341d2481189df3992c653">
  <xsd:schema xmlns:xsd="http://www.w3.org/2001/XMLSchema" xmlns:xs="http://www.w3.org/2001/XMLSchema" xmlns:p="http://schemas.microsoft.com/office/2006/metadata/properties" xmlns:ns2="5172435c-bcc6-4ebd-a3d8-658918b4b0e3" xmlns:ns3="3d7fdc13-8779-4f66-8fb8-aa58cfccc620" targetNamespace="http://schemas.microsoft.com/office/2006/metadata/properties" ma:root="true" ma:fieldsID="e9e5cc9bb5eb0839c0e2d86c193d3bf6" ns2:_="" ns3:_="">
    <xsd:import namespace="5172435c-bcc6-4ebd-a3d8-658918b4b0e3"/>
    <xsd:import namespace="3d7fdc13-8779-4f66-8fb8-aa58cfccc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2435c-bcc6-4ebd-a3d8-658918b4b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dc13-8779-4f66-8fb8-aa58cfccc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f206b5-59cf-4d59-b1b5-d0c1adb1ca9b}" ma:internalName="TaxCatchAll" ma:showField="CatchAllData" ma:web="3d7fdc13-8779-4f66-8fb8-aa58cfccc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72435c-bcc6-4ebd-a3d8-658918b4b0e3">
      <Terms xmlns="http://schemas.microsoft.com/office/infopath/2007/PartnerControls"/>
    </lcf76f155ced4ddcb4097134ff3c332f>
    <TaxCatchAll xmlns="3d7fdc13-8779-4f66-8fb8-aa58cfccc62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D32C-F7B5-4F42-94D4-C1E0EBCB7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2435c-bcc6-4ebd-a3d8-658918b4b0e3"/>
    <ds:schemaRef ds:uri="3d7fdc13-8779-4f66-8fb8-aa58cfccc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295F2-37A9-4D31-9C78-BED6FD3900E4}">
  <ds:schemaRefs>
    <ds:schemaRef ds:uri="5172435c-bcc6-4ebd-a3d8-658918b4b0e3"/>
    <ds:schemaRef ds:uri="3d7fdc13-8779-4f66-8fb8-aa58cfccc62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FB7A12-00FE-4989-8BF8-2A44B7E8C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30FA4-B5D4-4249-AB28-B113CCBE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Marsden</dc:creator>
  <cp:lastModifiedBy>Alex Bullock</cp:lastModifiedBy>
  <cp:revision>2</cp:revision>
  <dcterms:created xsi:type="dcterms:W3CDTF">2023-10-04T13:28:00Z</dcterms:created>
  <dcterms:modified xsi:type="dcterms:W3CDTF">2023-10-04T13:28:00Z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0x01010060D2097FD0983244854630038FC2B96B</vt:lpwstr>
  </property>
</Properties>
</file>